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D7B8" w14:textId="77777777" w:rsidR="003F2E59" w:rsidRDefault="002F7489">
      <w:proofErr w:type="spellStart"/>
      <w:r>
        <w:t>Spec</w:t>
      </w:r>
      <w:proofErr w:type="spellEnd"/>
      <w:r>
        <w:t xml:space="preserve"> Climate-60</w:t>
      </w:r>
    </w:p>
    <w:p w14:paraId="726A916C" w14:textId="77777777" w:rsidR="002F7489" w:rsidRDefault="002F7489"/>
    <w:p w14:paraId="7D59C56E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Frequency Response</w:t>
      </w:r>
    </w:p>
    <w:p w14:paraId="77F80E0F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63 Hz — 30 kHz</w:t>
      </w:r>
    </w:p>
    <w:p w14:paraId="02405475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Sensitivity (1W@1M)</w:t>
      </w:r>
    </w:p>
    <w:p w14:paraId="78F4BB7B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88 dB</w:t>
      </w:r>
    </w:p>
    <w:p w14:paraId="5FC9599E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Nominal Impedance</w:t>
      </w:r>
    </w:p>
    <w:p w14:paraId="4A7FDD96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8 ohms</w:t>
      </w:r>
    </w:p>
    <w:p w14:paraId="26649F82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Maximum SPL</w:t>
      </w:r>
    </w:p>
    <w:p w14:paraId="7D47F3CC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108.8 dBa</w:t>
      </w:r>
    </w:p>
    <w:p w14:paraId="4C60D471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Power Handling (RMS)</w:t>
      </w:r>
    </w:p>
    <w:p w14:paraId="39C2CC4B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100 W</w:t>
      </w:r>
    </w:p>
    <w:p w14:paraId="0124198A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Recommended Amplifier Requirements</w:t>
      </w:r>
    </w:p>
    <w:p w14:paraId="60F470C3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15 — 100 W</w:t>
      </w:r>
    </w:p>
    <w:p w14:paraId="1C96DA6F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Drivers</w:t>
      </w:r>
    </w:p>
    <w:p w14:paraId="6246A159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1 x 165 mm (6 1/2") C-CAM bass/ mid-range driver</w:t>
      </w: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br/>
        <w:t>1 x 25 mm (1") C-CAM </w:t>
      </w:r>
      <w:hyperlink r:id="rId4" w:history="1">
        <w:r w:rsidRPr="002F7489">
          <w:rPr>
            <w:rFonts w:ascii="Arial" w:eastAsia="Times New Roman" w:hAnsi="Arial" w:cs="Arial"/>
            <w:b/>
            <w:bCs/>
            <w:color w:val="312E2E"/>
            <w:sz w:val="24"/>
            <w:szCs w:val="24"/>
            <w:u w:val="single"/>
            <w:lang w:val="en-US" w:eastAsia="nb-NO"/>
          </w:rPr>
          <w:t>Gold Dome tweeter</w:t>
        </w:r>
      </w:hyperlink>
    </w:p>
    <w:p w14:paraId="4AA8C90B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External Dimensions (H x W x D)</w:t>
      </w:r>
    </w:p>
    <w:p w14:paraId="4835928C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325 x 185 x 178.5 mm (12</w:t>
      </w:r>
      <w:r w:rsidRPr="002F7489">
        <w:rPr>
          <w:rFonts w:ascii="Arial" w:eastAsia="Times New Roman" w:hAnsi="Arial" w:cs="Arial"/>
          <w:color w:val="312E2E"/>
          <w:sz w:val="17"/>
          <w:szCs w:val="17"/>
          <w:vertAlign w:val="superscript"/>
          <w:lang w:val="en-US" w:eastAsia="nb-NO"/>
        </w:rPr>
        <w:t>13/16</w:t>
      </w: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 x 7</w:t>
      </w:r>
      <w:r w:rsidRPr="002F7489">
        <w:rPr>
          <w:rFonts w:ascii="Arial" w:eastAsia="Times New Roman" w:hAnsi="Arial" w:cs="Arial"/>
          <w:color w:val="312E2E"/>
          <w:sz w:val="17"/>
          <w:szCs w:val="17"/>
          <w:vertAlign w:val="superscript"/>
          <w:lang w:val="en-US" w:eastAsia="nb-NO"/>
        </w:rPr>
        <w:t>5/16</w:t>
      </w: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x 7")</w:t>
      </w:r>
    </w:p>
    <w:p w14:paraId="4A43DFBF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Overall Depth (Including Bracket)</w:t>
      </w:r>
    </w:p>
    <w:p w14:paraId="28EB88E4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235 mm (9</w:t>
      </w:r>
      <w:r w:rsidRPr="002F7489">
        <w:rPr>
          <w:rFonts w:ascii="Arial" w:eastAsia="Times New Roman" w:hAnsi="Arial" w:cs="Arial"/>
          <w:color w:val="312E2E"/>
          <w:sz w:val="17"/>
          <w:szCs w:val="17"/>
          <w:vertAlign w:val="superscript"/>
          <w:lang w:val="en-US" w:eastAsia="nb-NO"/>
        </w:rPr>
        <w:t>1/4</w:t>
      </w: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")</w:t>
      </w:r>
    </w:p>
    <w:p w14:paraId="6EEF58E2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Total Bracket Pivot Angle</w:t>
      </w:r>
    </w:p>
    <w:p w14:paraId="6F31CFEF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87.5 degrees (from central position)</w:t>
      </w:r>
    </w:p>
    <w:p w14:paraId="6502EB26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Fixed Angled Block (Portrait)</w:t>
      </w:r>
    </w:p>
    <w:p w14:paraId="3C03FD3A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15 degrees</w:t>
      </w:r>
    </w:p>
    <w:p w14:paraId="00166D8B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Connection</w:t>
      </w:r>
    </w:p>
    <w:p w14:paraId="77752E4E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Gold plated 'push' type terminals</w:t>
      </w:r>
    </w:p>
    <w:p w14:paraId="657E6B1C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Environmental Protection Rating</w:t>
      </w:r>
    </w:p>
    <w:p w14:paraId="3DDFF3B4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IP55</w:t>
      </w:r>
    </w:p>
    <w:p w14:paraId="539514C2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Colour / Finish</w:t>
      </w:r>
    </w:p>
    <w:p w14:paraId="194A448D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val="en-US" w:eastAsia="nb-NO"/>
        </w:rPr>
        <w:t>White/Black</w:t>
      </w:r>
    </w:p>
    <w:p w14:paraId="5134822E" w14:textId="77777777" w:rsidR="002F7489" w:rsidRPr="002F7489" w:rsidRDefault="002F7489" w:rsidP="002F7489">
      <w:pPr>
        <w:shd w:val="clear" w:color="auto" w:fill="FFFFFF"/>
        <w:spacing w:after="120" w:line="240" w:lineRule="auto"/>
        <w:outlineLvl w:val="5"/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</w:pPr>
      <w:r w:rsidRPr="002F7489">
        <w:rPr>
          <w:rFonts w:ascii="inherit" w:eastAsia="Times New Roman" w:hAnsi="inherit" w:cs="Arial"/>
          <w:color w:val="312E2E"/>
          <w:sz w:val="15"/>
          <w:szCs w:val="15"/>
          <w:lang w:val="en-US" w:eastAsia="nb-NO"/>
        </w:rPr>
        <w:t>Weight (packaged)</w:t>
      </w:r>
    </w:p>
    <w:p w14:paraId="6672F7F3" w14:textId="77777777" w:rsidR="002F7489" w:rsidRPr="002F7489" w:rsidRDefault="002F7489" w:rsidP="002F74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2E2E"/>
          <w:sz w:val="24"/>
          <w:szCs w:val="24"/>
          <w:lang w:eastAsia="nb-NO"/>
        </w:rPr>
      </w:pPr>
      <w:r w:rsidRPr="002F7489">
        <w:rPr>
          <w:rFonts w:ascii="Arial" w:eastAsia="Times New Roman" w:hAnsi="Arial" w:cs="Arial"/>
          <w:color w:val="312E2E"/>
          <w:sz w:val="24"/>
          <w:szCs w:val="24"/>
          <w:lang w:eastAsia="nb-NO"/>
        </w:rPr>
        <w:t xml:space="preserve">4.62 kg (10 </w:t>
      </w:r>
      <w:proofErr w:type="spellStart"/>
      <w:r w:rsidRPr="002F7489">
        <w:rPr>
          <w:rFonts w:ascii="Arial" w:eastAsia="Times New Roman" w:hAnsi="Arial" w:cs="Arial"/>
          <w:color w:val="312E2E"/>
          <w:sz w:val="24"/>
          <w:szCs w:val="24"/>
          <w:lang w:eastAsia="nb-NO"/>
        </w:rPr>
        <w:t>lb</w:t>
      </w:r>
      <w:proofErr w:type="spellEnd"/>
      <w:r w:rsidRPr="002F7489">
        <w:rPr>
          <w:rFonts w:ascii="Arial" w:eastAsia="Times New Roman" w:hAnsi="Arial" w:cs="Arial"/>
          <w:color w:val="312E2E"/>
          <w:sz w:val="24"/>
          <w:szCs w:val="24"/>
          <w:lang w:eastAsia="nb-NO"/>
        </w:rPr>
        <w:t xml:space="preserve"> 2 </w:t>
      </w:r>
      <w:proofErr w:type="spellStart"/>
      <w:r w:rsidRPr="002F7489">
        <w:rPr>
          <w:rFonts w:ascii="Arial" w:eastAsia="Times New Roman" w:hAnsi="Arial" w:cs="Arial"/>
          <w:color w:val="312E2E"/>
          <w:sz w:val="24"/>
          <w:szCs w:val="24"/>
          <w:lang w:eastAsia="nb-NO"/>
        </w:rPr>
        <w:t>oz</w:t>
      </w:r>
      <w:proofErr w:type="spellEnd"/>
      <w:r w:rsidRPr="002F7489">
        <w:rPr>
          <w:rFonts w:ascii="Arial" w:eastAsia="Times New Roman" w:hAnsi="Arial" w:cs="Arial"/>
          <w:color w:val="312E2E"/>
          <w:sz w:val="24"/>
          <w:szCs w:val="24"/>
          <w:lang w:eastAsia="nb-NO"/>
        </w:rPr>
        <w:t>)</w:t>
      </w:r>
    </w:p>
    <w:p w14:paraId="639F0BED" w14:textId="77777777" w:rsidR="002F7489" w:rsidRDefault="002F7489">
      <w:bookmarkStart w:id="0" w:name="_GoBack"/>
      <w:bookmarkEnd w:id="0"/>
    </w:p>
    <w:sectPr w:rsidR="002F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89"/>
    <w:rsid w:val="002C52BF"/>
    <w:rsid w:val="002F7489"/>
    <w:rsid w:val="003B6B39"/>
    <w:rsid w:val="00F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0C1F"/>
  <w15:chartTrackingRefBased/>
  <w15:docId w15:val="{322F5358-BD78-48C2-A0B6-E2D0BD9C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6">
    <w:name w:val="heading 6"/>
    <w:basedOn w:val="Normal"/>
    <w:link w:val="Overskrift6Tegn"/>
    <w:uiPriority w:val="9"/>
    <w:qFormat/>
    <w:rsid w:val="002F74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uiPriority w:val="9"/>
    <w:rsid w:val="002F7489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F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F7489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F7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nitoraudio.com/en/blog/introducing-gold-dome-tweeter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Ole-Hermann Berthelsen</dc:creator>
  <cp:keywords/>
  <dc:description/>
  <cp:lastModifiedBy>Ole-Hermann Berthelsen</cp:lastModifiedBy>
  <cp:revision>1</cp:revision>
  <dcterms:created xsi:type="dcterms:W3CDTF">2019-06-06T08:18:00Z</dcterms:created>
  <dcterms:modified xsi:type="dcterms:W3CDTF">2019-06-06T08:19:00Z</dcterms:modified>
</cp:coreProperties>
</file>